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Technische Informatik</w:t>
      </w:r>
    </w:p>
    <w:p>
      <w:pPr>
        <w:pStyle w:val="Berschrift2"/>
        <w:numPr>
          <w:ilvl w:val="1"/>
          <w:numId w:val="1"/>
        </w:numPr>
        <w:tabs>
          <w:tab w:val="left" w:pos="0" w:leader="none"/>
        </w:tabs>
        <w:ind w:start="0" w:hanging="0"/>
        <w:rPr/>
      </w:pPr>
      <w:r>
        <w:rPr/>
        <w:t>Adaptive Dynamische Systeme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Technische 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Nagel, Prof. Göhringer, Prof. Castrillon-Mazo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ra, ads, cb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https://tu-dresden.de/ing/informatik/ti/professur-fuer-rechnerarchitektur/studium/lehrveranstaltungen/index</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Hardware Modellierung und Simulation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Göhringer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https://tu-dresden.de/ing/informatik/ti/ads/studium/winter/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Adaptive Rechnersysteme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adaptive Computer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Göhringer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https://tu-dresden.de/ing/informatik/ti/ads/studium/summer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Informatik I für Elektrotechniker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Göhringer, Dr. Schöne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https://tu-dresden.de/ing/informatik/ti/es/studium/winter/informatik-1-fuer-et-mt-res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INF-LE-EW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Programmierung von Mikrokontrollern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Schöne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https://tu-dresden.de/ing/informatik/ti/es/studium/winter/programmierung-von-mikrokontrollern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12</w:t>
    </w:r>
    <w:r>
      <w:fldChar w:fldCharType="end"/>
    </w:r>
    <w:r>
      <w:rPr/>
      <w:t xml:space="preserve"> </w:t>
    </w:r>
    <w:r>
      <w:rPr/>
      <w:t xml:space="preserve">/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