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Software- und Multimediatechnik</w:t>
      </w:r>
    </w:p>
    <w:p>
      <w:pPr>
        <w:pStyle w:val="Berschrift2"/>
        <w:numPr>
          <w:ilvl w:val="1"/>
          <w:numId w:val="1"/>
        </w:numPr>
        <w:tabs>
          <w:tab w:val="left" w:pos="0" w:leader="none"/>
        </w:tabs>
        <w:ind w:left="0" w:hanging="0"/>
        <w:rPr/>
      </w:pPr>
      <w:r>
        <w:rPr/>
        <w:t>Computergraphik und Visualisierung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Computergraphik 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30 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https://tu-dresden.de/ing/informatik/smt/cgv/studium/lehrveranstaltungen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MINF-04-FG-MTGW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D-WW-INF-3411, D-WW-INF-3412, D-WW-INF-3413, INF-LE-MA, INF-LE-WW, MATH-MA-INFGDV, WI-MA-08-02, WI-MA-09-02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Angewandte Computergraphik und 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Grundlagen der Computergraphik und Visualisierung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Computergraphik und Visualisierung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https://tu-dresden.de/ing/informatik/smt/cgv/studium/lehrveranstaltungen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 INF-VMI-8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Medieninformatik - Video</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Advanced Practical Course Media Computer Science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https://tu-dresden.de/ing/informatik/smt/cgv/studium/lehrveranstaltungen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INF-B-490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Wissenschaftliche Visualisierung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Gumhold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cuv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30 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https://tu-dresden.de/ing/informatik/smt/cgv/studium/lehrveranstaltungen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 INF-VERT7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 INF-VMI-8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 INF-VERT7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MINF-04-FG-MTGW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D-WW-INF-3411, D-WW-INF-3412, D-WW-INF-3413, INF-LE-WW, WI-MA-08-02, WI-MA-09-02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15</w:t>
    </w:r>
    <w:r>
      <w:fldChar w:fldCharType="end"/>
    </w:r>
    <w:r>
      <w:rPr/>
      <w:t xml:space="preserve"> </w:t>
    </w:r>
    <w:r>
      <w:rPr/>
      <w:t xml:space="preserve">/ </w:t>
    </w:r>
    <w:r>
      <w:rPr/>
      <w:fldChar w:fldCharType="begin"/>
    </w:r>
    <w:r>
      <w:instrText> NUMPAGES </w:instrText>
    </w:r>
    <w:r>
      <w:fldChar w:fldCharType="separate"/>
    </w:r>
    <w:r>
      <w:t>15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