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Software- und Multimediatechnik</w:t>
      </w:r>
    </w:p>
    <w:p>
      <w:pPr>
        <w:pStyle w:val="Heading2"/>
        <w:numPr>
          <w:ilvl w:val="1"/>
          <w:numId w:val="1"/>
        </w:numPr>
        <w:tabs>
          <w:tab w:val="left" w:pos="0" w:leader="none"/>
        </w:tabs>
        <w:ind w:left="0" w:hanging="0"/>
        <w:rPr/>
      </w:pPr>
      <w:r>
        <w:rPr/>
        <w:t>Mediengestaltung</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Bildsprache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Forschungskolleg Mediengestaltung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1/2/1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P(sA+V 20 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Grundlagen der Gestaltung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INF-B-440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INF-LA27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INF-LE-GEO, MSC-GIT-14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Mediengestaltung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P(PA) + P(V)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 INF-VMI-6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Medieninformatik - Informationsvisualisierung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P(PA) + P(V)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Mediengestaltung für Fortgeschrittene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Groh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http://mg.inf.tu-dresden.de/lehre/lehrveranstaltungen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