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Künstliche Intelligenz</w:t>
      </w:r>
    </w:p>
    <w:p>
      <w:pPr>
        <w:pStyle w:val="Berschrift2"/>
        <w:numPr>
          <w:ilvl w:val="1"/>
          <w:numId w:val="1"/>
        </w:numPr>
        <w:tabs>
          <w:tab w:val="left" w:pos="0" w:leader="none"/>
        </w:tabs>
        <w:ind w:start="0" w:hanging="0"/>
        <w:rPr/>
      </w:pPr>
      <w:r>
        <w:rPr/>
        <w:t>Wissensverarbeitung</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Academic Skills in Computer Science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Hölldobler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https://iccl.inf.tu-dresden.de/web/Lehrveranstaltungen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MCL-CS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Conditional Reasoning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Hölldobler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https://iccl.inf.tu-dresden.de/web/Lehrveranstaltungen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INF-PM-FOR, INF-PM-FOR, INF-VERT2, INF-VERT2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INF-PM-FOR, INF-PM-FOR, INF-VERT2, INF-VERT2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MCL-AI, MCL-KR, MCL-PI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Foundations for Machine Learning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Hölldobler, PhD Stefanus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INF-VERT2,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INF-VERT2,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MCL-AI, 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Knowledge Representation and Reasoning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https://iccl.inf.tu-dresden.de/web/Lehrveranstaltungen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Project Group Knowledge Representation and Reasoning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https://iccl.inf.tu-dresden.de/web/Lehrveranstaltungen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11</w:t>
    </w:r>
    <w:r>
      <w:rPr/>
      <w:fldChar w:fldCharType="end"/>
    </w:r>
    <w:r>
      <w:rPr/>
      <w:t xml:space="preserve"> </w:t>
    </w:r>
    <w:r>
      <w:rPr/>
      <w:t xml:space="preserve">/ </w:t>
    </w:r>
    <w:r>
      <w:rPr/>
      <w:fldChar w:fldCharType="begin"/>
    </w:r>
    <w:r>
      <w:rPr/>
      <w:instrText> NUMPAGES </w:instrText>
    </w:r>
    <w:r>
      <w:rPr/>
      <w:fldChar w:fldCharType="separate"/>
    </w:r>
    <w:r>
      <w:rPr/>
      <w:t>11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