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Theoretische Informatik</w:t>
      </w:r>
    </w:p>
    <w:p>
      <w:pPr>
        <w:pStyle w:val="Heading2"/>
        <w:numPr>
          <w:ilvl w:val="1"/>
          <w:numId w:val="1"/>
        </w:numPr>
        <w:tabs>
          <w:tab w:val="left" w:pos="0" w:leader="none"/>
        </w:tabs>
        <w:ind w:start="0" w:hanging="0"/>
        <w:rPr/>
      </w:pPr>
      <w:r>
        <w:rPr/>
        <w:t>Automatentheorie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Automata and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Baader, Dr. Borchmann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INF-04-FG-IS,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MCL-AL, MCL-KR, 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Einführung in die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Baader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INF-SEBS-INF-04, INF-SEGY-INF-04, INF-SEMS-INF-04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INF-LE-WW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Baader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Foundations of Databases and Query Languages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MCL-KR, 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Funktionale Programmierung und Typtheorie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Sturm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25min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Theoretische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 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Baader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Molekulares Rechnen - in vitro und in vivo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Baader, Dr. Sturm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 25min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Project Group 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Baader, Dr. Turhan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Ausgewählte Themen der Theoretischen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Baader, Dr. Sturm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 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Baader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MCL-PCS, 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