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Software- und Multimediatechnik</w:t>
      </w:r>
    </w:p>
    <w:p>
      <w:pPr>
        <w:pStyle w:val="Heading2"/>
        <w:numPr>
          <w:ilvl w:val="1"/>
          <w:numId w:val="1"/>
        </w:numPr>
        <w:tabs>
          <w:tab w:val="left" w:pos="0" w:leader="none"/>
        </w:tabs>
        <w:ind w:start="0" w:hanging="0"/>
        <w:rPr/>
      </w:pPr>
      <w:r>
        <w:rPr/>
        <w:t>Seniorprofessur Multimedia-Technologie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Multimediatechnik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Meißner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http://www.mmt.inf.tu-dresden.de/Lehre/index.xhtml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 INF-VMI-4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D-WW-INF-3411, D-WW-INF-3412, D-WW-INF-3413, INF-LE-WW, WI-MA-08-02,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Model-Driven Web Engineering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0/4/4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Meißner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L(PA)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http://www.mmt.inf.tu-dresden.de/Lehre/index.xhtml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r>
      <w:rPr/>
      <w:t xml:space="preserve"> </w:t>
    </w:r>
    <w:r>
      <w:rPr/>
      <w:t xml:space="preserve">/ </w:t>
    </w:r>
    <w:r>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