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Software- und Multimediatechnik</w:t>
      </w:r>
    </w:p>
    <w:p>
      <w:pPr>
        <w:pStyle w:val="Heading2"/>
        <w:numPr>
          <w:ilvl w:val="1"/>
          <w:numId w:val="1"/>
        </w:numPr>
        <w:tabs>
          <w:tab w:val="left" w:pos="0" w:leader="none"/>
        </w:tabs>
        <w:ind w:start="0" w:hanging="0"/>
        <w:rPr/>
      </w:pPr>
      <w:r>
        <w:rPr/>
        <w:t>Computergraphik und Visualisierung</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C++-Programmierung für Computergraphik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Gumhold, Dr. Grottel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http://www.tu-dresden.de/die_tu_dresden/fakultaeten/fakultaet_informatik/smt/cgv/lehre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MINF-04-FG-MTGW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Computergraphik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Gumhold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http://www.tu-dresden.de/die_tu_dresden/fakultaeten/fakultaet_informatik/smt/cgv/lehre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INF-BAS7, INF-PM-FOR,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INF-BAS7,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INF-BAS7, INF-PM-FOR,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MINF-04-FG-MTGW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D-WW-INF-3411, D-WW-INF-3412, D-WW-INF-3413, INF-LE-WW, WI-MA-08-02, WI-MA-09-02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Einführung in die Computergraphik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2/1/1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Gumhold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http://www.tu-dresden.de/die_tu_dresden/fakultaeten/fakultaet_informatik/smt/cgv/lehre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INF-LE-MA, INF-LE-PHY, MATH-MA-INFGDV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Computergraphik und Visualisierung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Gumhold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http://tu-dresden.de/die_tu_dresden/fakultaeten/fakultaet_informatik/smt/cgv/lehre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INF-BAS7,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INF-BAS7,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INF-BAS7, INF-D-940,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Computergraphik und Visualisierung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Gumhold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http://tu-dresden.de/die_tu_dresden/fakultaeten/fakultaet_informatik/smt/cgv/lehre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9</w:t>
    </w:r>
    <w:r>
      <w:fldChar w:fldCharType="end"/>
    </w:r>
    <w:r>
      <w:rPr/>
      <w:t xml:space="preserve"> </w:t>
    </w:r>
    <w:r>
      <w:rPr/>
      <w:t xml:space="preserve">/ </w:t>
    </w:r>
    <w:r>
      <w:rPr/>
      <w:fldChar w:fldCharType="begin"/>
    </w:r>
    <w:r>
      <w:instrText> NUMPAGES </w:instrText>
    </w:r>
    <w:r>
      <w:fldChar w:fldCharType="separate"/>
    </w:r>
    <w:r>
      <w:t>9</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